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142F2B" w:rsidRDefault="00DA13DD" w:rsidP="00540501">
      <w:pPr>
        <w:spacing w:after="0"/>
        <w:jc w:val="center"/>
        <w:rPr>
          <w:rFonts w:ascii="Arial" w:hAnsi="Arial" w:cs="Arial"/>
          <w:b/>
          <w:caps/>
          <w:sz w:val="16"/>
          <w:szCs w:val="16"/>
        </w:rPr>
      </w:pPr>
      <w:r>
        <w:rPr>
          <w:rFonts w:ascii="Arial" w:hAnsi="Arial" w:cs="Arial"/>
          <w:b/>
          <w:caps/>
          <w:sz w:val="16"/>
          <w:szCs w:val="16"/>
        </w:rPr>
        <w:t>Офисные светильники</w:t>
      </w:r>
      <w:r w:rsidR="00540501" w:rsidRPr="00E14567">
        <w:rPr>
          <w:rFonts w:ascii="Arial" w:hAnsi="Arial" w:cs="Arial"/>
          <w:b/>
          <w:caps/>
          <w:sz w:val="16"/>
          <w:szCs w:val="16"/>
        </w:rPr>
        <w:t xml:space="preserve"> СЕРИИ</w:t>
      </w:r>
      <w:r w:rsidR="00DF15E3">
        <w:rPr>
          <w:rFonts w:ascii="Arial" w:hAnsi="Arial" w:cs="Arial"/>
          <w:b/>
          <w:caps/>
          <w:sz w:val="16"/>
          <w:szCs w:val="16"/>
        </w:rPr>
        <w:t>:</w:t>
      </w:r>
      <w:r>
        <w:rPr>
          <w:rFonts w:ascii="Arial" w:hAnsi="Arial" w:cs="Arial"/>
          <w:b/>
          <w:caps/>
          <w:sz w:val="16"/>
          <w:szCs w:val="16"/>
        </w:rPr>
        <w:t xml:space="preserve"> </w:t>
      </w:r>
      <w:r>
        <w:rPr>
          <w:rFonts w:ascii="Arial" w:hAnsi="Arial" w:cs="Arial"/>
          <w:b/>
          <w:caps/>
          <w:sz w:val="16"/>
          <w:szCs w:val="16"/>
          <w:lang w:val="en-US"/>
        </w:rPr>
        <w:t>TR</w:t>
      </w:r>
      <w:r w:rsidRPr="00DA13DD">
        <w:rPr>
          <w:rFonts w:ascii="Arial" w:hAnsi="Arial" w:cs="Arial"/>
          <w:b/>
          <w:caps/>
          <w:sz w:val="16"/>
          <w:szCs w:val="16"/>
        </w:rPr>
        <w:t xml:space="preserve"> </w:t>
      </w:r>
      <w:r w:rsidR="00142F2B">
        <w:rPr>
          <w:rFonts w:ascii="Arial" w:hAnsi="Arial" w:cs="Arial"/>
          <w:b/>
          <w:caps/>
          <w:sz w:val="16"/>
          <w:szCs w:val="16"/>
          <w:lang w:val="en-US"/>
        </w:rPr>
        <w:t>DS</w:t>
      </w:r>
      <w:r w:rsidR="00142F2B" w:rsidRPr="00142F2B">
        <w:rPr>
          <w:rFonts w:ascii="Arial" w:hAnsi="Arial" w:cs="Arial"/>
          <w:b/>
          <w:caps/>
          <w:sz w:val="16"/>
          <w:szCs w:val="16"/>
        </w:rPr>
        <w:t xml:space="preserve"> </w:t>
      </w:r>
      <w:r w:rsidR="00142F2B">
        <w:rPr>
          <w:rFonts w:ascii="Arial" w:hAnsi="Arial" w:cs="Arial"/>
          <w:b/>
          <w:caps/>
          <w:sz w:val="16"/>
          <w:szCs w:val="16"/>
          <w:lang w:val="en-US"/>
        </w:rPr>
        <w:t>Line</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DF15E3" w:rsidP="00540501">
      <w:pPr>
        <w:pStyle w:val="a3"/>
        <w:numPr>
          <w:ilvl w:val="0"/>
          <w:numId w:val="6"/>
        </w:numPr>
        <w:spacing w:after="0"/>
        <w:jc w:val="both"/>
        <w:rPr>
          <w:rFonts w:ascii="Arial" w:hAnsi="Arial" w:cs="Arial"/>
          <w:sz w:val="16"/>
          <w:szCs w:val="16"/>
        </w:rPr>
      </w:pPr>
      <w:r>
        <w:rPr>
          <w:rFonts w:ascii="Arial" w:hAnsi="Arial" w:cs="Arial"/>
          <w:sz w:val="16"/>
          <w:szCs w:val="16"/>
        </w:rPr>
        <w:t>С</w:t>
      </w:r>
      <w:r w:rsidR="005E308B">
        <w:rPr>
          <w:rFonts w:ascii="Arial" w:hAnsi="Arial" w:cs="Arial"/>
          <w:sz w:val="16"/>
          <w:szCs w:val="16"/>
        </w:rPr>
        <w:t>тационарные</w:t>
      </w:r>
      <w:r w:rsidR="00844324"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001B649F" w:rsidRPr="00540501">
        <w:rPr>
          <w:rFonts w:ascii="Arial" w:hAnsi="Arial" w:cs="Arial"/>
          <w:sz w:val="16"/>
          <w:szCs w:val="16"/>
        </w:rPr>
        <w:t>со светодиодными источниками света</w:t>
      </w:r>
      <w:r w:rsidR="00844324" w:rsidRPr="00540501">
        <w:rPr>
          <w:rFonts w:ascii="Arial" w:hAnsi="Arial" w:cs="Arial"/>
          <w:sz w:val="16"/>
          <w:szCs w:val="16"/>
        </w:rPr>
        <w:t xml:space="preserve"> </w:t>
      </w:r>
      <w:r>
        <w:rPr>
          <w:rFonts w:ascii="Arial" w:hAnsi="Arial" w:cs="Arial"/>
          <w:sz w:val="16"/>
          <w:szCs w:val="16"/>
        </w:rPr>
        <w:t>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w:t>
      </w:r>
      <w:r w:rsidR="007E3931" w:rsidRPr="007E3931">
        <w:rPr>
          <w:rFonts w:ascii="Arial" w:hAnsi="Arial" w:cs="Arial"/>
          <w:sz w:val="16"/>
          <w:szCs w:val="16"/>
        </w:rPr>
        <w:t>локального освещения либо подсветки школьных досок, плакатов, информационных стендов</w:t>
      </w:r>
      <w:r w:rsidR="00A57C1D" w:rsidRPr="00540501">
        <w:rPr>
          <w:rFonts w:ascii="Arial" w:hAnsi="Arial" w:cs="Arial"/>
          <w:sz w:val="16"/>
          <w:szCs w:val="16"/>
        </w:rPr>
        <w:t xml:space="preserve">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5E308B" w:rsidRDefault="007E3931" w:rsidP="00540501">
      <w:pPr>
        <w:pStyle w:val="a3"/>
        <w:numPr>
          <w:ilvl w:val="0"/>
          <w:numId w:val="6"/>
        </w:numPr>
        <w:spacing w:after="0"/>
        <w:jc w:val="both"/>
        <w:rPr>
          <w:rFonts w:ascii="Arial" w:hAnsi="Arial" w:cs="Arial"/>
          <w:sz w:val="16"/>
          <w:szCs w:val="16"/>
        </w:rPr>
      </w:pPr>
      <w:r>
        <w:rPr>
          <w:rFonts w:ascii="Arial" w:hAnsi="Arial" w:cs="Arial"/>
          <w:sz w:val="16"/>
          <w:szCs w:val="16"/>
        </w:rPr>
        <w:t>В комплекте со светильником идут кронштейны для навесного монтажа</w:t>
      </w:r>
      <w:r w:rsidR="00BE1143" w:rsidRPr="00540501">
        <w:rPr>
          <w:rFonts w:ascii="Arial" w:hAnsi="Arial" w:cs="Arial"/>
          <w:sz w:val="16"/>
          <w:szCs w:val="16"/>
        </w:rPr>
        <w:t>.</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0" w:type="auto"/>
        <w:jc w:val="center"/>
        <w:tblLook w:val="04A0" w:firstRow="1" w:lastRow="0" w:firstColumn="1" w:lastColumn="0" w:noHBand="0" w:noVBand="1"/>
      </w:tblPr>
      <w:tblGrid>
        <w:gridCol w:w="1393"/>
        <w:gridCol w:w="9063"/>
      </w:tblGrid>
      <w:tr w:rsidR="007E3931" w:rsidRPr="00AF5E3C" w:rsidTr="007E3931">
        <w:trPr>
          <w:jc w:val="center"/>
        </w:trPr>
        <w:tc>
          <w:tcPr>
            <w:tcW w:w="1393" w:type="dxa"/>
            <w:vAlign w:val="center"/>
          </w:tcPr>
          <w:p w:rsidR="007E3931" w:rsidRPr="00AF5E3C" w:rsidRDefault="007E3931" w:rsidP="00540501">
            <w:pPr>
              <w:rPr>
                <w:rFonts w:ascii="Arial" w:hAnsi="Arial" w:cs="Arial"/>
                <w:sz w:val="12"/>
                <w:szCs w:val="12"/>
              </w:rPr>
            </w:pPr>
            <w:r w:rsidRPr="00AF5E3C">
              <w:rPr>
                <w:rFonts w:ascii="Arial" w:hAnsi="Arial" w:cs="Arial"/>
                <w:sz w:val="12"/>
                <w:szCs w:val="12"/>
              </w:rPr>
              <w:t>Серия</w:t>
            </w:r>
          </w:p>
        </w:tc>
        <w:tc>
          <w:tcPr>
            <w:tcW w:w="9063" w:type="dxa"/>
            <w:vAlign w:val="center"/>
          </w:tcPr>
          <w:p w:rsidR="007E3931" w:rsidRPr="007E3931" w:rsidRDefault="007E3931" w:rsidP="00540501">
            <w:pPr>
              <w:jc w:val="center"/>
              <w:rPr>
                <w:rFonts w:ascii="Arial" w:hAnsi="Arial" w:cs="Arial"/>
                <w:sz w:val="12"/>
                <w:szCs w:val="12"/>
                <w:lang w:val="en-US"/>
              </w:rPr>
            </w:pPr>
            <w:r>
              <w:rPr>
                <w:rFonts w:ascii="Arial" w:hAnsi="Arial" w:cs="Arial"/>
                <w:sz w:val="12"/>
                <w:szCs w:val="12"/>
                <w:lang w:val="en-US"/>
              </w:rPr>
              <w:t>DS Line</w:t>
            </w:r>
          </w:p>
        </w:tc>
      </w:tr>
      <w:tr w:rsidR="007E3931" w:rsidRPr="00AF5E3C" w:rsidTr="007E3931">
        <w:trPr>
          <w:jc w:val="center"/>
        </w:trPr>
        <w:tc>
          <w:tcPr>
            <w:tcW w:w="1393" w:type="dxa"/>
            <w:vAlign w:val="center"/>
          </w:tcPr>
          <w:p w:rsidR="007E3931" w:rsidRPr="00AF5E3C" w:rsidRDefault="007E3931" w:rsidP="00540501">
            <w:pPr>
              <w:rPr>
                <w:rFonts w:ascii="Arial" w:hAnsi="Arial" w:cs="Arial"/>
                <w:sz w:val="12"/>
                <w:szCs w:val="12"/>
              </w:rPr>
            </w:pPr>
            <w:r w:rsidRPr="00AF5E3C">
              <w:rPr>
                <w:rFonts w:ascii="Arial" w:hAnsi="Arial" w:cs="Arial"/>
                <w:sz w:val="12"/>
                <w:szCs w:val="12"/>
              </w:rPr>
              <w:t>Артикул</w:t>
            </w:r>
          </w:p>
        </w:tc>
        <w:tc>
          <w:tcPr>
            <w:tcW w:w="9063" w:type="dxa"/>
            <w:vAlign w:val="center"/>
          </w:tcPr>
          <w:p w:rsidR="007E3931" w:rsidRPr="007E3931" w:rsidRDefault="007E3931" w:rsidP="00540501">
            <w:pPr>
              <w:jc w:val="center"/>
              <w:rPr>
                <w:rFonts w:ascii="Arial" w:hAnsi="Arial" w:cs="Arial"/>
                <w:sz w:val="12"/>
                <w:szCs w:val="12"/>
                <w:lang w:val="en-US"/>
              </w:rPr>
            </w:pPr>
            <w:r>
              <w:rPr>
                <w:rFonts w:ascii="Arial" w:hAnsi="Arial" w:cs="Arial"/>
                <w:sz w:val="12"/>
                <w:szCs w:val="12"/>
                <w:lang w:val="en-US"/>
              </w:rPr>
              <w:t>52121</w:t>
            </w:r>
          </w:p>
        </w:tc>
      </w:tr>
      <w:tr w:rsidR="008C6A91" w:rsidRPr="00AF5E3C" w:rsidTr="007E3931">
        <w:trPr>
          <w:jc w:val="center"/>
        </w:trPr>
        <w:tc>
          <w:tcPr>
            <w:tcW w:w="1393" w:type="dxa"/>
            <w:vAlign w:val="center"/>
          </w:tcPr>
          <w:p w:rsidR="00EA3F6B" w:rsidRPr="00AF5E3C" w:rsidRDefault="00AF62AC" w:rsidP="00540501">
            <w:pPr>
              <w:rPr>
                <w:rFonts w:ascii="Arial" w:hAnsi="Arial" w:cs="Arial"/>
                <w:sz w:val="12"/>
                <w:szCs w:val="12"/>
              </w:rPr>
            </w:pPr>
            <w:r w:rsidRPr="00AF5E3C">
              <w:rPr>
                <w:rFonts w:ascii="Arial" w:hAnsi="Arial" w:cs="Arial"/>
                <w:sz w:val="12"/>
                <w:szCs w:val="12"/>
              </w:rPr>
              <w:t>Напряжение питания</w:t>
            </w:r>
          </w:p>
        </w:tc>
        <w:tc>
          <w:tcPr>
            <w:tcW w:w="9063" w:type="dxa"/>
            <w:vAlign w:val="center"/>
          </w:tcPr>
          <w:p w:rsidR="00EA3F6B" w:rsidRPr="00AF5E3C" w:rsidRDefault="00AF62AC" w:rsidP="00540501">
            <w:pPr>
              <w:jc w:val="center"/>
              <w:rPr>
                <w:rFonts w:ascii="Arial" w:hAnsi="Arial" w:cs="Arial"/>
                <w:sz w:val="12"/>
                <w:szCs w:val="12"/>
              </w:rPr>
            </w:pPr>
            <w:r w:rsidRPr="00AF5E3C">
              <w:rPr>
                <w:rFonts w:ascii="Arial" w:hAnsi="Arial" w:cs="Arial"/>
                <w:sz w:val="12"/>
                <w:szCs w:val="12"/>
              </w:rPr>
              <w:t>1</w:t>
            </w:r>
            <w:r w:rsidR="005E308B" w:rsidRPr="00AF5E3C">
              <w:rPr>
                <w:rFonts w:ascii="Arial" w:hAnsi="Arial" w:cs="Arial"/>
                <w:sz w:val="12"/>
                <w:szCs w:val="12"/>
              </w:rPr>
              <w:t>7</w:t>
            </w:r>
            <w:r w:rsidR="00C41DAB" w:rsidRPr="00AF5E3C">
              <w:rPr>
                <w:rFonts w:ascii="Arial" w:hAnsi="Arial" w:cs="Arial"/>
                <w:sz w:val="12"/>
                <w:szCs w:val="12"/>
              </w:rPr>
              <w:t>5</w:t>
            </w:r>
            <w:r w:rsidRPr="00AF5E3C">
              <w:rPr>
                <w:rFonts w:ascii="Arial" w:hAnsi="Arial" w:cs="Arial"/>
                <w:sz w:val="12"/>
                <w:szCs w:val="12"/>
              </w:rPr>
              <w:t>-265</w:t>
            </w:r>
            <w:r w:rsidR="00EA3F6B" w:rsidRPr="00AF5E3C">
              <w:rPr>
                <w:rFonts w:ascii="Arial" w:hAnsi="Arial" w:cs="Arial"/>
                <w:sz w:val="12"/>
                <w:szCs w:val="12"/>
              </w:rPr>
              <w:t>В</w:t>
            </w:r>
          </w:p>
        </w:tc>
      </w:tr>
      <w:tr w:rsidR="008C6A91" w:rsidRPr="00AF5E3C" w:rsidTr="007E3931">
        <w:trPr>
          <w:jc w:val="center"/>
        </w:trPr>
        <w:tc>
          <w:tcPr>
            <w:tcW w:w="1393"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Частота сети</w:t>
            </w:r>
          </w:p>
        </w:tc>
        <w:tc>
          <w:tcPr>
            <w:tcW w:w="9063" w:type="dxa"/>
            <w:vAlign w:val="center"/>
          </w:tcPr>
          <w:p w:rsidR="00EA3F6B" w:rsidRPr="00AF5E3C" w:rsidRDefault="00EA3F6B" w:rsidP="00540501">
            <w:pPr>
              <w:jc w:val="center"/>
              <w:rPr>
                <w:rFonts w:ascii="Arial" w:hAnsi="Arial" w:cs="Arial"/>
                <w:sz w:val="12"/>
                <w:szCs w:val="12"/>
              </w:rPr>
            </w:pPr>
            <w:r w:rsidRPr="00AF5E3C">
              <w:rPr>
                <w:rFonts w:ascii="Arial" w:hAnsi="Arial" w:cs="Arial"/>
                <w:sz w:val="12"/>
                <w:szCs w:val="12"/>
              </w:rPr>
              <w:t>50Гц</w:t>
            </w:r>
          </w:p>
        </w:tc>
      </w:tr>
      <w:tr w:rsidR="00C26A21" w:rsidRPr="00AF5E3C" w:rsidTr="008A4CC7">
        <w:trPr>
          <w:jc w:val="center"/>
        </w:trPr>
        <w:tc>
          <w:tcPr>
            <w:tcW w:w="1393" w:type="dxa"/>
            <w:vAlign w:val="center"/>
          </w:tcPr>
          <w:p w:rsidR="00C26A21" w:rsidRPr="00AF5E3C" w:rsidRDefault="00C26A21" w:rsidP="00540501">
            <w:pPr>
              <w:rPr>
                <w:rFonts w:ascii="Arial" w:hAnsi="Arial" w:cs="Arial"/>
                <w:sz w:val="12"/>
                <w:szCs w:val="12"/>
              </w:rPr>
            </w:pPr>
            <w:r w:rsidRPr="00AF5E3C">
              <w:rPr>
                <w:rFonts w:ascii="Arial" w:hAnsi="Arial" w:cs="Arial"/>
                <w:sz w:val="12"/>
                <w:szCs w:val="12"/>
              </w:rPr>
              <w:t>Потребляемая мощность</w:t>
            </w:r>
          </w:p>
        </w:tc>
        <w:tc>
          <w:tcPr>
            <w:tcW w:w="9063" w:type="dxa"/>
            <w:vAlign w:val="center"/>
          </w:tcPr>
          <w:p w:rsidR="00C26A21" w:rsidRPr="00AF5E3C" w:rsidRDefault="00C26A21" w:rsidP="00540501">
            <w:pPr>
              <w:jc w:val="center"/>
              <w:rPr>
                <w:rFonts w:ascii="Arial" w:hAnsi="Arial" w:cs="Arial"/>
                <w:sz w:val="12"/>
                <w:szCs w:val="12"/>
              </w:rPr>
            </w:pPr>
            <w:r w:rsidRPr="00AF5E3C">
              <w:rPr>
                <w:rFonts w:ascii="Arial" w:hAnsi="Arial" w:cs="Arial"/>
                <w:sz w:val="12"/>
                <w:szCs w:val="12"/>
              </w:rPr>
              <w:t>3</w:t>
            </w:r>
            <w:r>
              <w:rPr>
                <w:rFonts w:ascii="Arial" w:hAnsi="Arial" w:cs="Arial"/>
                <w:sz w:val="12"/>
                <w:szCs w:val="12"/>
              </w:rPr>
              <w:t>0</w:t>
            </w:r>
            <w:r w:rsidRPr="00AF5E3C">
              <w:rPr>
                <w:rFonts w:ascii="Arial" w:hAnsi="Arial" w:cs="Arial"/>
                <w:sz w:val="12"/>
                <w:szCs w:val="12"/>
              </w:rPr>
              <w:t>Вт</w:t>
            </w:r>
          </w:p>
        </w:tc>
      </w:tr>
      <w:tr w:rsidR="008C6A91" w:rsidRPr="00AF5E3C" w:rsidTr="007E3931">
        <w:trPr>
          <w:jc w:val="center"/>
        </w:trPr>
        <w:tc>
          <w:tcPr>
            <w:tcW w:w="1393"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Коэффициент мощности</w:t>
            </w:r>
          </w:p>
        </w:tc>
        <w:tc>
          <w:tcPr>
            <w:tcW w:w="9063" w:type="dxa"/>
            <w:vAlign w:val="center"/>
          </w:tcPr>
          <w:p w:rsidR="00EA3F6B" w:rsidRPr="00AF5E3C" w:rsidRDefault="00EA3F6B" w:rsidP="00540501">
            <w:pPr>
              <w:jc w:val="center"/>
              <w:rPr>
                <w:rFonts w:ascii="Arial" w:hAnsi="Arial" w:cs="Arial"/>
                <w:sz w:val="12"/>
                <w:szCs w:val="12"/>
                <w:lang w:val="en-US"/>
              </w:rPr>
            </w:pPr>
            <w:r w:rsidRPr="00AF5E3C">
              <w:rPr>
                <w:rFonts w:ascii="Arial" w:hAnsi="Arial" w:cs="Arial"/>
                <w:sz w:val="12"/>
                <w:szCs w:val="12"/>
                <w:lang w:val="en-US"/>
              </w:rPr>
              <w:t>&gt;</w:t>
            </w:r>
            <w:r w:rsidRPr="00AF5E3C">
              <w:rPr>
                <w:rFonts w:ascii="Arial" w:hAnsi="Arial" w:cs="Arial"/>
                <w:sz w:val="12"/>
                <w:szCs w:val="12"/>
              </w:rPr>
              <w:t>0,9</w:t>
            </w:r>
          </w:p>
        </w:tc>
      </w:tr>
      <w:tr w:rsidR="008C6A91" w:rsidRPr="00AF5E3C" w:rsidTr="007E3931">
        <w:trPr>
          <w:jc w:val="center"/>
        </w:trPr>
        <w:tc>
          <w:tcPr>
            <w:tcW w:w="1393"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Источник света</w:t>
            </w:r>
          </w:p>
        </w:tc>
        <w:tc>
          <w:tcPr>
            <w:tcW w:w="9063" w:type="dxa"/>
            <w:vAlign w:val="center"/>
          </w:tcPr>
          <w:p w:rsidR="00EA3F6B" w:rsidRPr="00AF5E3C" w:rsidRDefault="00EA3F6B" w:rsidP="00540501">
            <w:pPr>
              <w:jc w:val="center"/>
              <w:rPr>
                <w:rFonts w:ascii="Arial" w:hAnsi="Arial" w:cs="Arial"/>
                <w:sz w:val="12"/>
                <w:szCs w:val="12"/>
              </w:rPr>
            </w:pPr>
            <w:r w:rsidRPr="00AF5E3C">
              <w:rPr>
                <w:rFonts w:ascii="Arial" w:hAnsi="Arial" w:cs="Arial"/>
                <w:sz w:val="12"/>
                <w:szCs w:val="12"/>
              </w:rPr>
              <w:t xml:space="preserve">Светодиоды </w:t>
            </w:r>
            <w:r w:rsidRPr="00AF5E3C">
              <w:rPr>
                <w:rFonts w:ascii="Arial" w:hAnsi="Arial" w:cs="Arial"/>
                <w:sz w:val="12"/>
                <w:szCs w:val="12"/>
                <w:lang w:val="en-US"/>
              </w:rPr>
              <w:t>smd2835</w:t>
            </w:r>
          </w:p>
        </w:tc>
      </w:tr>
      <w:tr w:rsidR="00200865" w:rsidRPr="00AF5E3C" w:rsidTr="00B84304">
        <w:trPr>
          <w:jc w:val="center"/>
        </w:trPr>
        <w:tc>
          <w:tcPr>
            <w:tcW w:w="1393" w:type="dxa"/>
            <w:vAlign w:val="center"/>
          </w:tcPr>
          <w:p w:rsidR="00200865" w:rsidRPr="00AF5E3C" w:rsidRDefault="00200865" w:rsidP="00540501">
            <w:pPr>
              <w:rPr>
                <w:rFonts w:ascii="Arial" w:hAnsi="Arial" w:cs="Arial"/>
                <w:sz w:val="12"/>
                <w:szCs w:val="12"/>
              </w:rPr>
            </w:pPr>
            <w:r w:rsidRPr="00AF5E3C">
              <w:rPr>
                <w:rFonts w:ascii="Arial" w:hAnsi="Arial" w:cs="Arial"/>
                <w:sz w:val="12"/>
                <w:szCs w:val="12"/>
              </w:rPr>
              <w:t>Количество светодиодов</w:t>
            </w:r>
          </w:p>
        </w:tc>
        <w:tc>
          <w:tcPr>
            <w:tcW w:w="9063" w:type="dxa"/>
            <w:vAlign w:val="center"/>
          </w:tcPr>
          <w:p w:rsidR="00200865" w:rsidRPr="00AF5E3C" w:rsidRDefault="00200865" w:rsidP="00540501">
            <w:pPr>
              <w:jc w:val="center"/>
              <w:rPr>
                <w:rFonts w:ascii="Arial" w:hAnsi="Arial" w:cs="Arial"/>
                <w:sz w:val="12"/>
                <w:szCs w:val="12"/>
              </w:rPr>
            </w:pPr>
            <w:r>
              <w:rPr>
                <w:rFonts w:ascii="Arial" w:hAnsi="Arial" w:cs="Arial"/>
                <w:sz w:val="12"/>
                <w:szCs w:val="12"/>
              </w:rPr>
              <w:t>15</w:t>
            </w:r>
          </w:p>
        </w:tc>
      </w:tr>
      <w:tr w:rsidR="00200865" w:rsidRPr="00AF5E3C" w:rsidTr="00FA7BA8">
        <w:trPr>
          <w:jc w:val="center"/>
        </w:trPr>
        <w:tc>
          <w:tcPr>
            <w:tcW w:w="1393" w:type="dxa"/>
            <w:vAlign w:val="center"/>
          </w:tcPr>
          <w:p w:rsidR="00200865" w:rsidRPr="00AF5E3C" w:rsidRDefault="00200865" w:rsidP="00540501">
            <w:pPr>
              <w:rPr>
                <w:rFonts w:ascii="Arial" w:hAnsi="Arial" w:cs="Arial"/>
                <w:sz w:val="12"/>
                <w:szCs w:val="12"/>
              </w:rPr>
            </w:pPr>
            <w:r w:rsidRPr="00AF5E3C">
              <w:rPr>
                <w:rFonts w:ascii="Arial" w:hAnsi="Arial" w:cs="Arial"/>
                <w:sz w:val="12"/>
                <w:szCs w:val="12"/>
              </w:rPr>
              <w:t>Материал рассеивателя</w:t>
            </w:r>
          </w:p>
        </w:tc>
        <w:tc>
          <w:tcPr>
            <w:tcW w:w="9063" w:type="dxa"/>
            <w:vAlign w:val="center"/>
          </w:tcPr>
          <w:p w:rsidR="00200865" w:rsidRPr="00AF5E3C" w:rsidRDefault="00200865" w:rsidP="00545DDA">
            <w:pPr>
              <w:jc w:val="center"/>
              <w:rPr>
                <w:rFonts w:ascii="Arial" w:hAnsi="Arial" w:cs="Arial"/>
                <w:sz w:val="12"/>
                <w:szCs w:val="12"/>
              </w:rPr>
            </w:pPr>
            <w:r w:rsidRPr="00AF5E3C">
              <w:rPr>
                <w:rFonts w:ascii="Arial" w:hAnsi="Arial" w:cs="Arial"/>
                <w:sz w:val="12"/>
                <w:szCs w:val="12"/>
              </w:rPr>
              <w:t>Светотехнический полистирол</w:t>
            </w:r>
          </w:p>
        </w:tc>
      </w:tr>
      <w:tr w:rsidR="008C6A91" w:rsidRPr="00AF5E3C" w:rsidTr="007E3931">
        <w:trPr>
          <w:jc w:val="center"/>
        </w:trPr>
        <w:tc>
          <w:tcPr>
            <w:tcW w:w="1393" w:type="dxa"/>
            <w:vAlign w:val="center"/>
          </w:tcPr>
          <w:p w:rsidR="005E308B" w:rsidRPr="00AF5E3C" w:rsidRDefault="005E308B" w:rsidP="00540501">
            <w:pPr>
              <w:rPr>
                <w:rFonts w:ascii="Arial" w:hAnsi="Arial" w:cs="Arial"/>
                <w:sz w:val="12"/>
                <w:szCs w:val="12"/>
              </w:rPr>
            </w:pPr>
            <w:r w:rsidRPr="00AF5E3C">
              <w:rPr>
                <w:rFonts w:ascii="Arial" w:hAnsi="Arial" w:cs="Arial"/>
                <w:sz w:val="12"/>
                <w:szCs w:val="12"/>
              </w:rPr>
              <w:t>Тип рассеивателя (см. на упаковке)</w:t>
            </w:r>
          </w:p>
        </w:tc>
        <w:tc>
          <w:tcPr>
            <w:tcW w:w="9063" w:type="dxa"/>
            <w:vAlign w:val="center"/>
          </w:tcPr>
          <w:p w:rsidR="005E308B" w:rsidRPr="00AF5E3C" w:rsidRDefault="005E308B" w:rsidP="00540501">
            <w:pPr>
              <w:jc w:val="center"/>
              <w:rPr>
                <w:rFonts w:ascii="Arial" w:hAnsi="Arial" w:cs="Arial"/>
                <w:sz w:val="12"/>
                <w:szCs w:val="12"/>
              </w:rPr>
            </w:pPr>
            <w:r w:rsidRPr="00AF5E3C">
              <w:rPr>
                <w:rFonts w:ascii="Arial" w:hAnsi="Arial" w:cs="Arial"/>
                <w:sz w:val="12"/>
                <w:szCs w:val="12"/>
              </w:rPr>
              <w:t>матовый</w:t>
            </w:r>
          </w:p>
        </w:tc>
      </w:tr>
      <w:tr w:rsidR="00200865" w:rsidRPr="00AF5E3C" w:rsidTr="002F28D8">
        <w:trPr>
          <w:jc w:val="center"/>
        </w:trPr>
        <w:tc>
          <w:tcPr>
            <w:tcW w:w="1393" w:type="dxa"/>
            <w:vAlign w:val="center"/>
          </w:tcPr>
          <w:p w:rsidR="00200865" w:rsidRPr="00AF5E3C" w:rsidRDefault="00200865" w:rsidP="00540501">
            <w:pPr>
              <w:rPr>
                <w:rFonts w:ascii="Arial" w:hAnsi="Arial" w:cs="Arial"/>
                <w:sz w:val="12"/>
                <w:szCs w:val="12"/>
              </w:rPr>
            </w:pPr>
            <w:r w:rsidRPr="00AF5E3C">
              <w:rPr>
                <w:rFonts w:ascii="Arial" w:hAnsi="Arial" w:cs="Arial"/>
                <w:sz w:val="12"/>
                <w:szCs w:val="12"/>
              </w:rPr>
              <w:t>Световой поток</w:t>
            </w:r>
            <w:r>
              <w:rPr>
                <w:rFonts w:ascii="Arial" w:hAnsi="Arial" w:cs="Arial"/>
                <w:sz w:val="12"/>
                <w:szCs w:val="12"/>
              </w:rPr>
              <w:t>, лм</w:t>
            </w:r>
          </w:p>
        </w:tc>
        <w:tc>
          <w:tcPr>
            <w:tcW w:w="9063" w:type="dxa"/>
            <w:vAlign w:val="center"/>
          </w:tcPr>
          <w:p w:rsidR="00200865" w:rsidRPr="00AF5E3C" w:rsidRDefault="00200865" w:rsidP="00451541">
            <w:pPr>
              <w:jc w:val="center"/>
              <w:rPr>
                <w:rFonts w:ascii="Arial" w:hAnsi="Arial" w:cs="Arial"/>
                <w:sz w:val="12"/>
                <w:szCs w:val="12"/>
              </w:rPr>
            </w:pPr>
            <w:r w:rsidRPr="00AF5E3C">
              <w:rPr>
                <w:rFonts w:ascii="Arial" w:hAnsi="Arial" w:cs="Arial"/>
                <w:sz w:val="12"/>
                <w:szCs w:val="12"/>
                <w:lang w:val="en-US"/>
              </w:rPr>
              <w:t>3</w:t>
            </w:r>
            <w:r w:rsidRPr="00AF5E3C">
              <w:rPr>
                <w:rFonts w:ascii="Arial" w:hAnsi="Arial" w:cs="Arial"/>
                <w:sz w:val="12"/>
                <w:szCs w:val="12"/>
              </w:rPr>
              <w:t>6</w:t>
            </w:r>
            <w:r w:rsidRPr="00AF5E3C">
              <w:rPr>
                <w:rFonts w:ascii="Arial" w:hAnsi="Arial" w:cs="Arial"/>
                <w:sz w:val="12"/>
                <w:szCs w:val="12"/>
                <w:lang w:val="en-US"/>
              </w:rPr>
              <w:t>00</w:t>
            </w:r>
          </w:p>
        </w:tc>
      </w:tr>
      <w:tr w:rsidR="00200865" w:rsidRPr="00AF5E3C" w:rsidTr="000E749B">
        <w:trPr>
          <w:jc w:val="center"/>
        </w:trPr>
        <w:tc>
          <w:tcPr>
            <w:tcW w:w="1393" w:type="dxa"/>
            <w:vAlign w:val="center"/>
          </w:tcPr>
          <w:p w:rsidR="00200865" w:rsidRPr="00AF5E3C" w:rsidRDefault="00200865" w:rsidP="00540501">
            <w:pPr>
              <w:rPr>
                <w:rFonts w:ascii="Arial" w:hAnsi="Arial" w:cs="Arial"/>
                <w:sz w:val="12"/>
                <w:szCs w:val="12"/>
              </w:rPr>
            </w:pPr>
            <w:r w:rsidRPr="00AF5E3C">
              <w:rPr>
                <w:rFonts w:ascii="Arial" w:hAnsi="Arial" w:cs="Arial"/>
                <w:sz w:val="12"/>
                <w:szCs w:val="12"/>
              </w:rPr>
              <w:t>Коррелированная цветовая температура</w:t>
            </w:r>
          </w:p>
        </w:tc>
        <w:tc>
          <w:tcPr>
            <w:tcW w:w="9063" w:type="dxa"/>
            <w:vAlign w:val="center"/>
          </w:tcPr>
          <w:p w:rsidR="00200865" w:rsidRPr="000832A5" w:rsidRDefault="00200865" w:rsidP="00540501">
            <w:pPr>
              <w:jc w:val="center"/>
              <w:rPr>
                <w:rFonts w:ascii="Arial" w:hAnsi="Arial" w:cs="Arial"/>
                <w:sz w:val="12"/>
                <w:szCs w:val="12"/>
                <w:lang w:val="en-US"/>
              </w:rPr>
            </w:pPr>
            <w:r w:rsidRPr="00AF5E3C">
              <w:rPr>
                <w:rFonts w:ascii="Arial" w:hAnsi="Arial" w:cs="Arial"/>
                <w:sz w:val="12"/>
                <w:szCs w:val="12"/>
              </w:rPr>
              <w:t>4000</w:t>
            </w:r>
            <w:r w:rsidRPr="00AF5E3C">
              <w:rPr>
                <w:rFonts w:ascii="Arial" w:hAnsi="Arial" w:cs="Arial"/>
                <w:sz w:val="12"/>
                <w:szCs w:val="12"/>
                <w:lang w:val="en-US"/>
              </w:rPr>
              <w:t>K</w:t>
            </w:r>
          </w:p>
        </w:tc>
      </w:tr>
      <w:tr w:rsidR="00200865" w:rsidRPr="00AF5E3C" w:rsidTr="00BE2B90">
        <w:trPr>
          <w:jc w:val="center"/>
        </w:trPr>
        <w:tc>
          <w:tcPr>
            <w:tcW w:w="1393" w:type="dxa"/>
            <w:vAlign w:val="center"/>
          </w:tcPr>
          <w:p w:rsidR="00200865" w:rsidRPr="00AF5E3C" w:rsidRDefault="00200865" w:rsidP="007A3FFF">
            <w:pPr>
              <w:rPr>
                <w:rFonts w:ascii="Arial" w:hAnsi="Arial" w:cs="Arial"/>
                <w:sz w:val="12"/>
                <w:szCs w:val="12"/>
              </w:rPr>
            </w:pPr>
            <w:r w:rsidRPr="00AF5E3C">
              <w:rPr>
                <w:rFonts w:ascii="Arial" w:hAnsi="Arial" w:cs="Arial"/>
                <w:sz w:val="12"/>
                <w:szCs w:val="12"/>
              </w:rPr>
              <w:t>Общий индекс цветопередачи</w:t>
            </w:r>
          </w:p>
        </w:tc>
        <w:tc>
          <w:tcPr>
            <w:tcW w:w="9063" w:type="dxa"/>
            <w:vAlign w:val="center"/>
          </w:tcPr>
          <w:p w:rsidR="00200865" w:rsidRPr="00AF5E3C" w:rsidRDefault="00200865"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Коэффициент пульсации освещенности</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&lt;5%</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Угол рассеяния</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120°</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Тип кривой силы света</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Д (косинусная)</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 xml:space="preserve">Класс </w:t>
            </w:r>
            <w:proofErr w:type="spellStart"/>
            <w:r w:rsidRPr="00AF5E3C">
              <w:rPr>
                <w:rFonts w:ascii="Arial" w:hAnsi="Arial" w:cs="Arial"/>
                <w:sz w:val="12"/>
                <w:szCs w:val="12"/>
              </w:rPr>
              <w:t>светораспределения</w:t>
            </w:r>
            <w:proofErr w:type="spellEnd"/>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П (прямого света)</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Температура эксплуатации</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0.. +4</w:t>
            </w:r>
            <w:r w:rsidRPr="00AF5E3C">
              <w:rPr>
                <w:rFonts w:ascii="Arial" w:hAnsi="Arial" w:cs="Arial"/>
                <w:sz w:val="12"/>
                <w:szCs w:val="12"/>
                <w:lang w:val="en-US"/>
              </w:rPr>
              <w:t>5</w:t>
            </w:r>
            <w:r w:rsidRPr="00AF5E3C">
              <w:rPr>
                <w:rFonts w:ascii="Arial" w:hAnsi="Arial" w:cs="Arial"/>
                <w:sz w:val="12"/>
                <w:szCs w:val="12"/>
              </w:rPr>
              <w:t xml:space="preserve"> °С</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Относительная влажность не более</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80</w:t>
            </w:r>
            <w:r w:rsidRPr="00AF5E3C">
              <w:rPr>
                <w:rFonts w:ascii="Arial" w:hAnsi="Arial" w:cs="Arial"/>
                <w:sz w:val="12"/>
                <w:szCs w:val="12"/>
                <w:lang w:val="en-US"/>
              </w:rPr>
              <w:t>% (</w:t>
            </w:r>
            <w:r w:rsidRPr="00AF5E3C">
              <w:rPr>
                <w:rFonts w:ascii="Arial" w:hAnsi="Arial" w:cs="Arial"/>
                <w:sz w:val="12"/>
                <w:szCs w:val="12"/>
              </w:rPr>
              <w:t xml:space="preserve">при </w:t>
            </w:r>
            <w:r w:rsidRPr="00AF5E3C">
              <w:rPr>
                <w:rFonts w:ascii="Arial" w:hAnsi="Arial" w:cs="Arial"/>
                <w:sz w:val="12"/>
                <w:szCs w:val="12"/>
                <w:lang w:val="en-US"/>
              </w:rPr>
              <w:t>25</w:t>
            </w:r>
            <w:r w:rsidRPr="00AF5E3C">
              <w:rPr>
                <w:rFonts w:ascii="Arial" w:hAnsi="Arial" w:cs="Arial"/>
                <w:sz w:val="12"/>
                <w:szCs w:val="12"/>
              </w:rPr>
              <w:t>°С</w:t>
            </w:r>
            <w:r w:rsidRPr="00AF5E3C">
              <w:rPr>
                <w:rFonts w:ascii="Arial" w:hAnsi="Arial" w:cs="Arial"/>
                <w:sz w:val="12"/>
                <w:szCs w:val="12"/>
                <w:lang w:val="en-US"/>
              </w:rPr>
              <w:t>)</w:t>
            </w:r>
          </w:p>
        </w:tc>
      </w:tr>
      <w:tr w:rsidR="00200865" w:rsidRPr="00AF5E3C" w:rsidTr="00A822C7">
        <w:trPr>
          <w:jc w:val="center"/>
        </w:trPr>
        <w:tc>
          <w:tcPr>
            <w:tcW w:w="1393" w:type="dxa"/>
            <w:vAlign w:val="center"/>
          </w:tcPr>
          <w:p w:rsidR="00200865" w:rsidRPr="00AF5E3C" w:rsidRDefault="00200865" w:rsidP="007A3FFF">
            <w:pPr>
              <w:rPr>
                <w:rFonts w:ascii="Arial" w:hAnsi="Arial" w:cs="Arial"/>
                <w:sz w:val="12"/>
                <w:szCs w:val="12"/>
              </w:rPr>
            </w:pPr>
            <w:r w:rsidRPr="00AF5E3C">
              <w:rPr>
                <w:rFonts w:ascii="Arial" w:hAnsi="Arial" w:cs="Arial"/>
                <w:sz w:val="12"/>
                <w:szCs w:val="12"/>
              </w:rPr>
              <w:t>Защита от пыли и влаги</w:t>
            </w:r>
          </w:p>
        </w:tc>
        <w:tc>
          <w:tcPr>
            <w:tcW w:w="9063" w:type="dxa"/>
            <w:vAlign w:val="center"/>
          </w:tcPr>
          <w:p w:rsidR="00200865" w:rsidRPr="00AF5E3C" w:rsidRDefault="00200865" w:rsidP="007A3FFF">
            <w:pPr>
              <w:jc w:val="center"/>
              <w:rPr>
                <w:rFonts w:ascii="Arial" w:hAnsi="Arial" w:cs="Arial"/>
                <w:sz w:val="12"/>
                <w:szCs w:val="12"/>
                <w:lang w:val="en-US"/>
              </w:rPr>
            </w:pPr>
            <w:r w:rsidRPr="00AF5E3C">
              <w:rPr>
                <w:rFonts w:ascii="Arial" w:hAnsi="Arial" w:cs="Arial"/>
                <w:sz w:val="12"/>
                <w:szCs w:val="12"/>
                <w:lang w:val="en-US"/>
              </w:rPr>
              <w:t>IP</w:t>
            </w:r>
            <w:r>
              <w:rPr>
                <w:rFonts w:ascii="Arial" w:hAnsi="Arial" w:cs="Arial"/>
                <w:sz w:val="12"/>
                <w:szCs w:val="12"/>
              </w:rPr>
              <w:t>4</w:t>
            </w:r>
            <w:r w:rsidRPr="00AF5E3C">
              <w:rPr>
                <w:rFonts w:ascii="Arial" w:hAnsi="Arial" w:cs="Arial"/>
                <w:sz w:val="12"/>
                <w:szCs w:val="12"/>
              </w:rPr>
              <w:t>0</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Климатическое исполнение</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УХЛ4</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Класс защиты от поражения электрическим током</w:t>
            </w:r>
          </w:p>
        </w:tc>
        <w:tc>
          <w:tcPr>
            <w:tcW w:w="9063" w:type="dxa"/>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I</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Материал корпуса</w:t>
            </w:r>
          </w:p>
        </w:tc>
        <w:tc>
          <w:tcPr>
            <w:tcW w:w="9063" w:type="dxa"/>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сталь</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Габаритные размеры, мм (</w:t>
            </w:r>
            <w:proofErr w:type="spellStart"/>
            <w:r w:rsidRPr="00AF5E3C">
              <w:rPr>
                <w:rFonts w:ascii="Arial" w:hAnsi="Arial" w:cs="Arial"/>
                <w:sz w:val="12"/>
                <w:szCs w:val="12"/>
              </w:rPr>
              <w:t>д×ш×в</w:t>
            </w:r>
            <w:proofErr w:type="spellEnd"/>
            <w:r w:rsidRPr="00AF5E3C">
              <w:rPr>
                <w:rFonts w:ascii="Arial" w:hAnsi="Arial" w:cs="Arial"/>
                <w:sz w:val="12"/>
                <w:szCs w:val="12"/>
              </w:rPr>
              <w:t>)</w:t>
            </w:r>
          </w:p>
        </w:tc>
        <w:tc>
          <w:tcPr>
            <w:tcW w:w="9063" w:type="dxa"/>
            <w:vAlign w:val="center"/>
          </w:tcPr>
          <w:p w:rsidR="007A3FFF" w:rsidRPr="007F7B51" w:rsidRDefault="007A3FFF" w:rsidP="007A3FFF">
            <w:pPr>
              <w:jc w:val="center"/>
              <w:rPr>
                <w:rFonts w:ascii="Arial" w:hAnsi="Arial" w:cs="Arial"/>
                <w:sz w:val="12"/>
                <w:szCs w:val="12"/>
              </w:rPr>
            </w:pPr>
            <w:r>
              <w:rPr>
                <w:rFonts w:ascii="Arial" w:hAnsi="Arial" w:cs="Arial"/>
                <w:sz w:val="12"/>
                <w:szCs w:val="12"/>
              </w:rPr>
              <w:t>См. на упаковке</w:t>
            </w:r>
          </w:p>
        </w:tc>
      </w:tr>
      <w:tr w:rsidR="007A3FFF" w:rsidRPr="00AF5E3C" w:rsidTr="007E3931">
        <w:trPr>
          <w:jc w:val="center"/>
        </w:trPr>
        <w:tc>
          <w:tcPr>
            <w:tcW w:w="1393"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Срок службы светодиодов</w:t>
            </w:r>
          </w:p>
        </w:tc>
        <w:tc>
          <w:tcPr>
            <w:tcW w:w="9063" w:type="dxa"/>
            <w:vAlign w:val="center"/>
          </w:tcPr>
          <w:p w:rsidR="007A3FFF" w:rsidRPr="00AF5E3C" w:rsidRDefault="007A3FFF" w:rsidP="007A3FFF">
            <w:pPr>
              <w:jc w:val="center"/>
              <w:rPr>
                <w:rFonts w:ascii="Arial" w:hAnsi="Arial" w:cs="Arial"/>
                <w:sz w:val="12"/>
                <w:szCs w:val="12"/>
                <w:lang w:val="en-US"/>
              </w:rPr>
            </w:pPr>
            <w:r>
              <w:rPr>
                <w:rFonts w:ascii="Arial" w:hAnsi="Arial" w:cs="Arial"/>
                <w:sz w:val="12"/>
                <w:szCs w:val="12"/>
              </w:rPr>
              <w:t>5</w:t>
            </w:r>
            <w:r w:rsidRPr="00AF5E3C">
              <w:rPr>
                <w:rFonts w:ascii="Arial" w:hAnsi="Arial" w:cs="Arial"/>
                <w:sz w:val="12"/>
                <w:szCs w:val="12"/>
              </w:rPr>
              <w:t>0000ч.</w:t>
            </w:r>
          </w:p>
        </w:tc>
      </w:tr>
    </w:tbl>
    <w:p w:rsidR="00713182" w:rsidRDefault="00713182" w:rsidP="00713182">
      <w:pPr>
        <w:pStyle w:val="a3"/>
        <w:ind w:left="360"/>
        <w:jc w:val="both"/>
        <w:rPr>
          <w:rFonts w:ascii="Arial" w:hAnsi="Arial" w:cs="Arial"/>
          <w:i/>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w:t>
      </w:r>
      <w:r w:rsidR="00142F2B">
        <w:rPr>
          <w:rFonts w:ascii="Arial" w:hAnsi="Arial" w:cs="Arial"/>
          <w:sz w:val="16"/>
          <w:szCs w:val="16"/>
          <w:lang w:val="en-US"/>
        </w:rPr>
        <w:t>1</w:t>
      </w:r>
      <w:r w:rsidR="0042561E" w:rsidRPr="00540501">
        <w:rPr>
          <w:rFonts w:ascii="Arial" w:hAnsi="Arial" w:cs="Arial"/>
          <w:sz w:val="16"/>
          <w:szCs w:val="16"/>
        </w:rPr>
        <w:t xml:space="preserve"> </w:t>
      </w:r>
      <w:proofErr w:type="spellStart"/>
      <w:r w:rsidR="0042561E" w:rsidRPr="00540501">
        <w:rPr>
          <w:rFonts w:ascii="Arial" w:hAnsi="Arial" w:cs="Arial"/>
          <w:sz w:val="16"/>
          <w:szCs w:val="16"/>
        </w:rPr>
        <w:t>шт</w:t>
      </w:r>
      <w:proofErr w:type="spellEnd"/>
      <w:r w:rsidR="00C450B4" w:rsidRPr="00863389">
        <w:rPr>
          <w:rFonts w:ascii="Arial" w:hAnsi="Arial" w:cs="Arial"/>
          <w:sz w:val="16"/>
          <w:szCs w:val="16"/>
        </w:rPr>
        <w:t>;</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эксплуатации</w:t>
      </w:r>
      <w:r w:rsidR="00142F2B">
        <w:rPr>
          <w:rFonts w:ascii="Arial" w:hAnsi="Arial" w:cs="Arial"/>
          <w:sz w:val="16"/>
          <w:szCs w:val="16"/>
        </w:rPr>
        <w:t xml:space="preserve"> – 1шт</w:t>
      </w:r>
      <w:r w:rsidR="007F7B51">
        <w:rPr>
          <w:rFonts w:ascii="Arial" w:hAnsi="Arial" w:cs="Arial"/>
          <w:sz w:val="16"/>
          <w:szCs w:val="16"/>
          <w:lang w:val="en-US"/>
        </w:rPr>
        <w:t>;</w:t>
      </w:r>
    </w:p>
    <w:p w:rsidR="001E4A31" w:rsidRDefault="00142F2B" w:rsidP="00540501">
      <w:pPr>
        <w:pStyle w:val="a3"/>
        <w:numPr>
          <w:ilvl w:val="0"/>
          <w:numId w:val="2"/>
        </w:numPr>
        <w:spacing w:after="0"/>
        <w:jc w:val="both"/>
        <w:rPr>
          <w:rFonts w:ascii="Arial" w:hAnsi="Arial" w:cs="Arial"/>
          <w:sz w:val="16"/>
          <w:szCs w:val="16"/>
        </w:rPr>
      </w:pPr>
      <w:r>
        <w:rPr>
          <w:rFonts w:ascii="Arial" w:hAnsi="Arial" w:cs="Arial"/>
          <w:sz w:val="16"/>
          <w:szCs w:val="16"/>
        </w:rPr>
        <w:t>Кронштейн – 2шт</w:t>
      </w:r>
      <w:r w:rsidR="001E4A31" w:rsidRPr="00C450B4">
        <w:rPr>
          <w:rFonts w:ascii="Arial" w:hAnsi="Arial" w:cs="Arial"/>
          <w:sz w:val="16"/>
          <w:szCs w:val="16"/>
        </w:rPr>
        <w:t>;</w:t>
      </w:r>
    </w:p>
    <w:p w:rsidR="00142F2B" w:rsidRPr="00540501" w:rsidRDefault="00142F2B" w:rsidP="00540501">
      <w:pPr>
        <w:pStyle w:val="a3"/>
        <w:numPr>
          <w:ilvl w:val="0"/>
          <w:numId w:val="2"/>
        </w:numPr>
        <w:spacing w:after="0"/>
        <w:jc w:val="both"/>
        <w:rPr>
          <w:rFonts w:ascii="Arial" w:hAnsi="Arial" w:cs="Arial"/>
          <w:sz w:val="16"/>
          <w:szCs w:val="16"/>
        </w:rPr>
      </w:pPr>
      <w:r>
        <w:rPr>
          <w:rFonts w:ascii="Arial" w:hAnsi="Arial" w:cs="Arial"/>
          <w:sz w:val="16"/>
          <w:szCs w:val="16"/>
        </w:rPr>
        <w:t>Монтажный комплект – 1шт</w:t>
      </w:r>
      <w:r>
        <w:rPr>
          <w:rFonts w:ascii="Arial" w:hAnsi="Arial" w:cs="Arial"/>
          <w:sz w:val="16"/>
          <w:szCs w:val="16"/>
          <w:lang w:val="en-US"/>
        </w:rPr>
        <w:t>;</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К работе со светильником допускаются лица, имеющие необходимую квалификацию. Обратитесь к квалифицированному электрику.</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Извлечь светильник из коробки и произвести его внешний осмотр, проверить комплектность поставки.</w:t>
      </w:r>
    </w:p>
    <w:p w:rsidR="007F731F" w:rsidRP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У</w:t>
      </w:r>
      <w:r w:rsidR="00BE1143" w:rsidRPr="00713182">
        <w:rPr>
          <w:rFonts w:ascii="Arial" w:hAnsi="Arial" w:cs="Arial"/>
          <w:sz w:val="16"/>
          <w:szCs w:val="16"/>
        </w:rPr>
        <w:t xml:space="preserve">становите светильник </w:t>
      </w:r>
      <w:r w:rsidR="00142F2B">
        <w:rPr>
          <w:rFonts w:ascii="Arial" w:hAnsi="Arial" w:cs="Arial"/>
          <w:sz w:val="16"/>
          <w:szCs w:val="16"/>
        </w:rPr>
        <w:t>и отрегулируйте его угол наклона.</w:t>
      </w:r>
    </w:p>
    <w:p w:rsidR="00155F3B" w:rsidRPr="00713182" w:rsidRDefault="007F731F"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lastRenderedPageBreak/>
        <w:t xml:space="preserve">Включите </w:t>
      </w:r>
      <w:r w:rsidR="00A37DF7" w:rsidRPr="00713182">
        <w:rPr>
          <w:rFonts w:ascii="Arial" w:hAnsi="Arial" w:cs="Arial"/>
          <w:sz w:val="16"/>
          <w:szCs w:val="16"/>
        </w:rPr>
        <w:t>электропитание</w:t>
      </w:r>
      <w:r w:rsidRPr="00713182">
        <w:rPr>
          <w:rFonts w:ascii="Arial" w:hAnsi="Arial" w:cs="Arial"/>
          <w:sz w:val="16"/>
          <w:szCs w:val="16"/>
        </w:rPr>
        <w:t>.</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D11319" w:rsidRPr="00CE1E9A" w:rsidRDefault="009A04D2" w:rsidP="00CE1E9A">
      <w:pPr>
        <w:pStyle w:val="a3"/>
        <w:numPr>
          <w:ilvl w:val="1"/>
          <w:numId w:val="26"/>
        </w:numPr>
        <w:spacing w:after="0"/>
        <w:jc w:val="both"/>
        <w:rPr>
          <w:rFonts w:ascii="Arial" w:eastAsia="Times New Roman" w:hAnsi="Arial" w:cs="Arial"/>
          <w:sz w:val="16"/>
          <w:szCs w:val="16"/>
        </w:rPr>
      </w:pPr>
      <w:r w:rsidRPr="00CE1E9A">
        <w:rPr>
          <w:rFonts w:ascii="Arial" w:eastAsia="Times New Roman" w:hAnsi="Arial" w:cs="Arial"/>
          <w:sz w:val="16"/>
          <w:szCs w:val="16"/>
        </w:rPr>
        <w:t>Светильники не требуют специального технического обслуживания.</w:t>
      </w:r>
    </w:p>
    <w:p w:rsidR="00D11319" w:rsidRPr="00CE1E9A" w:rsidRDefault="00D11319" w:rsidP="00CE1E9A">
      <w:pPr>
        <w:pStyle w:val="a3"/>
        <w:numPr>
          <w:ilvl w:val="1"/>
          <w:numId w:val="26"/>
        </w:numPr>
        <w:spacing w:after="0"/>
        <w:jc w:val="both"/>
        <w:rPr>
          <w:rFonts w:ascii="Arial" w:eastAsia="Times New Roman" w:hAnsi="Arial" w:cs="Arial"/>
          <w:sz w:val="16"/>
          <w:szCs w:val="16"/>
        </w:rPr>
      </w:pPr>
      <w:r w:rsidRPr="00CE1E9A">
        <w:rPr>
          <w:rFonts w:ascii="Arial" w:hAnsi="Arial" w:cs="Arial"/>
          <w:sz w:val="16"/>
          <w:szCs w:val="16"/>
        </w:rPr>
        <w:t>По истечении срока службы заменить светильник на новый.</w:t>
      </w:r>
    </w:p>
    <w:p w:rsidR="00D11319" w:rsidRDefault="009A04D2" w:rsidP="00CE1E9A">
      <w:pPr>
        <w:pStyle w:val="a3"/>
        <w:numPr>
          <w:ilvl w:val="1"/>
          <w:numId w:val="26"/>
        </w:numPr>
        <w:spacing w:after="0"/>
        <w:jc w:val="both"/>
        <w:rPr>
          <w:rFonts w:ascii="Arial" w:eastAsia="Times New Roman" w:hAnsi="Arial" w:cs="Arial"/>
          <w:sz w:val="16"/>
          <w:szCs w:val="16"/>
        </w:rPr>
      </w:pPr>
      <w:r w:rsidRPr="00D11319">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D11319">
        <w:rPr>
          <w:rFonts w:ascii="Arial" w:eastAsia="Times New Roman" w:hAnsi="Arial" w:cs="Arial"/>
          <w:sz w:val="16"/>
          <w:szCs w:val="16"/>
        </w:rPr>
        <w:t xml:space="preserve"> </w:t>
      </w:r>
    </w:p>
    <w:p w:rsidR="009A04D2" w:rsidRPr="00D11319" w:rsidRDefault="009A04D2" w:rsidP="00CE1E9A">
      <w:pPr>
        <w:pStyle w:val="a3"/>
        <w:numPr>
          <w:ilvl w:val="1"/>
          <w:numId w:val="26"/>
        </w:numPr>
        <w:spacing w:after="0"/>
        <w:jc w:val="both"/>
        <w:rPr>
          <w:rFonts w:ascii="Arial" w:eastAsia="Times New Roman" w:hAnsi="Arial" w:cs="Arial"/>
          <w:sz w:val="16"/>
          <w:szCs w:val="16"/>
        </w:rPr>
      </w:pPr>
      <w:r w:rsidRPr="00D11319">
        <w:rPr>
          <w:rFonts w:ascii="Arial" w:eastAsia="Times New Roman" w:hAnsi="Arial" w:cs="Arial"/>
          <w:sz w:val="16"/>
          <w:szCs w:val="16"/>
        </w:rPr>
        <w:t xml:space="preserve">Все </w:t>
      </w:r>
      <w:bookmarkStart w:id="0" w:name="_GoBack"/>
      <w:bookmarkEnd w:id="0"/>
      <w:r w:rsidRPr="00D11319">
        <w:rPr>
          <w:rFonts w:ascii="Arial" w:eastAsia="Times New Roman" w:hAnsi="Arial" w:cs="Arial"/>
          <w:sz w:val="16"/>
          <w:szCs w:val="16"/>
        </w:rPr>
        <w:t>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626"/>
        <w:gridCol w:w="2292"/>
        <w:gridCol w:w="4538"/>
      </w:tblGrid>
      <w:tr w:rsidR="00D11319" w:rsidRPr="00602443" w:rsidTr="00F62754">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F62754" w:rsidRPr="00602443" w:rsidTr="00F62754">
        <w:trPr>
          <w:trHeight w:val="1045"/>
        </w:trPr>
        <w:tc>
          <w:tcPr>
            <w:tcW w:w="0" w:type="auto"/>
            <w:vMerge w:val="restart"/>
            <w:tcBorders>
              <w:left w:val="single" w:sz="4" w:space="0" w:color="000000"/>
            </w:tcBorders>
            <w:vAlign w:val="center"/>
          </w:tcPr>
          <w:p w:rsidR="00F62754" w:rsidRPr="00602443" w:rsidRDefault="00F62754"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top w:val="single" w:sz="4" w:space="0" w:color="000000"/>
              <w:left w:val="single" w:sz="4" w:space="0" w:color="000000"/>
              <w:bottom w:val="single" w:sz="4" w:space="0" w:color="auto"/>
            </w:tcBorders>
            <w:vAlign w:val="center"/>
          </w:tcPr>
          <w:p w:rsidR="00F62754" w:rsidRDefault="00F62754"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right w:val="single" w:sz="4" w:space="0" w:color="000000"/>
            </w:tcBorders>
            <w:vAlign w:val="center"/>
          </w:tcPr>
          <w:p w:rsidR="00F62754" w:rsidRDefault="00F62754"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F627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top w:val="single" w:sz="4" w:space="0" w:color="auto"/>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D11319" w:rsidRPr="00602443" w:rsidTr="00F627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top w:val="single" w:sz="4" w:space="0" w:color="auto"/>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137"/>
        </w:trPr>
        <w:tc>
          <w:tcPr>
            <w:tcW w:w="0" w:type="auto"/>
            <w:vMerge/>
            <w:tcBorders>
              <w:left w:val="single" w:sz="4" w:space="0" w:color="000000"/>
              <w:bottom w:val="single" w:sz="4" w:space="0" w:color="auto"/>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bl>
    <w:p w:rsidR="006D6A30" w:rsidRPr="00D11319" w:rsidRDefault="00CE4F3C" w:rsidP="00540501">
      <w:pPr>
        <w:spacing w:after="0"/>
        <w:jc w:val="both"/>
        <w:rPr>
          <w:rFonts w:ascii="Arial" w:hAnsi="Arial" w:cs="Arial"/>
          <w:i/>
          <w:sz w:val="16"/>
          <w:szCs w:val="16"/>
        </w:rPr>
      </w:pPr>
      <w:r w:rsidRPr="00D11319">
        <w:rPr>
          <w:rFonts w:ascii="Arial" w:hAnsi="Arial" w:cs="Arial"/>
          <w:i/>
          <w:sz w:val="16"/>
          <w:szCs w:val="16"/>
        </w:rPr>
        <w:t xml:space="preserve">Если после произведенных действий светильник не загорается, то дальнейший ремонт не </w:t>
      </w:r>
      <w:r w:rsidR="00540501" w:rsidRPr="00D11319">
        <w:rPr>
          <w:rFonts w:ascii="Arial" w:hAnsi="Arial" w:cs="Arial"/>
          <w:i/>
          <w:sz w:val="16"/>
          <w:szCs w:val="16"/>
        </w:rPr>
        <w:t>целесообразен (</w:t>
      </w:r>
      <w:r w:rsidRPr="00D11319">
        <w:rPr>
          <w:rFonts w:ascii="Arial" w:hAnsi="Arial" w:cs="Arial"/>
          <w:i/>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D11319">
      <w:pPr>
        <w:spacing w:after="0" w:line="240" w:lineRule="auto"/>
        <w:jc w:val="both"/>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F62754" w:rsidRDefault="00F62754" w:rsidP="00D11319">
      <w:pPr>
        <w:spacing w:after="0"/>
        <w:jc w:val="both"/>
        <w:rPr>
          <w:rFonts w:ascii="Arial" w:hAnsi="Arial" w:cs="Arial"/>
          <w:sz w:val="16"/>
          <w:szCs w:val="16"/>
        </w:rPr>
      </w:pPr>
      <w:r w:rsidRPr="00F62754">
        <w:rPr>
          <w:rFonts w:ascii="Arial" w:hAnsi="Arial" w:cs="Arial"/>
          <w:sz w:val="16"/>
          <w:szCs w:val="16"/>
        </w:rPr>
        <w:t>Светильник выполнен по всем Техническим условиям ТУ 27.40.25-001-56427733-2022 «Светильники светодиодные. Технические условия»</w:t>
      </w:r>
      <w:r>
        <w:rPr>
          <w:rFonts w:ascii="Arial" w:hAnsi="Arial" w:cs="Arial"/>
          <w:sz w:val="16"/>
          <w:szCs w:val="16"/>
        </w:rPr>
        <w:t>.</w:t>
      </w:r>
    </w:p>
    <w:p w:rsidR="00CE4F3C" w:rsidRPr="00540501" w:rsidRDefault="00540501" w:rsidP="00D1131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F62754" w:rsidRDefault="00F62754" w:rsidP="00D227BB">
      <w:pPr>
        <w:spacing w:after="0"/>
        <w:jc w:val="both"/>
        <w:rPr>
          <w:rFonts w:ascii="Arial" w:hAnsi="Arial" w:cs="Arial"/>
          <w:sz w:val="16"/>
          <w:szCs w:val="16"/>
        </w:rPr>
      </w:pPr>
      <w:r w:rsidRPr="00F62754">
        <w:rPr>
          <w:rFonts w:ascii="Arial" w:hAnsi="Arial" w:cs="Arial"/>
          <w:sz w:val="16"/>
          <w:szCs w:val="16"/>
        </w:rPr>
        <w:t xml:space="preserve">Сделано в РФ. Изготовитель: ООО «ТРИО» Адрес: Россия, г. Москва, </w:t>
      </w:r>
      <w:proofErr w:type="spellStart"/>
      <w:r w:rsidRPr="00F62754">
        <w:rPr>
          <w:rFonts w:ascii="Arial" w:hAnsi="Arial" w:cs="Arial"/>
          <w:sz w:val="16"/>
          <w:szCs w:val="16"/>
        </w:rPr>
        <w:t>вн</w:t>
      </w:r>
      <w:proofErr w:type="spellEnd"/>
      <w:r w:rsidRPr="00F62754">
        <w:rPr>
          <w:rFonts w:ascii="Arial" w:hAnsi="Arial" w:cs="Arial"/>
          <w:sz w:val="16"/>
          <w:szCs w:val="16"/>
        </w:rPr>
        <w:t xml:space="preserve">. тер. г. поселение Московский, КВ-Л 74, ВЛД. 1, СТР. 1, этаж/офис 1/48. Поставщик: ООО «СИЛА СВЕТА» Россия, 117405, г. Москва, ул. Дорожная, д. 48, тел. +7(499)394-69-26. </w:t>
      </w:r>
    </w:p>
    <w:p w:rsidR="00F6152B" w:rsidRPr="00540501" w:rsidRDefault="00F62754" w:rsidP="00D227BB">
      <w:pPr>
        <w:spacing w:after="0"/>
        <w:jc w:val="both"/>
        <w:rPr>
          <w:rFonts w:ascii="Arial" w:hAnsi="Arial" w:cs="Arial"/>
          <w:sz w:val="16"/>
          <w:szCs w:val="16"/>
        </w:rPr>
      </w:pPr>
      <w:r w:rsidRPr="00F62754">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AD40AF" w:rsidRDefault="00540501" w:rsidP="001231A0">
      <w:pPr>
        <w:numPr>
          <w:ilvl w:val="0"/>
          <w:numId w:val="21"/>
        </w:numPr>
        <w:spacing w:after="0" w:line="23" w:lineRule="atLeast"/>
        <w:jc w:val="both"/>
        <w:rPr>
          <w:rFonts w:ascii="Arial" w:hAnsi="Arial" w:cs="Arial"/>
          <w:sz w:val="16"/>
          <w:szCs w:val="16"/>
        </w:rPr>
      </w:pPr>
      <w:r w:rsidRPr="00AD40AF">
        <w:rPr>
          <w:rFonts w:ascii="Arial" w:hAnsi="Arial" w:cs="Arial"/>
          <w:sz w:val="16"/>
          <w:szCs w:val="16"/>
        </w:rPr>
        <w:t xml:space="preserve">Гарантия на товар составляет </w:t>
      </w:r>
      <w:r w:rsidR="000D4A63" w:rsidRPr="00AD40AF">
        <w:rPr>
          <w:rFonts w:ascii="Arial" w:hAnsi="Arial" w:cs="Arial"/>
          <w:sz w:val="16"/>
          <w:szCs w:val="16"/>
        </w:rPr>
        <w:t>3</w:t>
      </w:r>
      <w:r w:rsidRPr="00AD40AF">
        <w:rPr>
          <w:rFonts w:ascii="Arial" w:hAnsi="Arial" w:cs="Arial"/>
          <w:sz w:val="16"/>
          <w:szCs w:val="16"/>
        </w:rPr>
        <w:t xml:space="preserve"> года (</w:t>
      </w:r>
      <w:r w:rsidR="000D4A63" w:rsidRPr="00AD40AF">
        <w:rPr>
          <w:rFonts w:ascii="Arial" w:hAnsi="Arial" w:cs="Arial"/>
          <w:sz w:val="16"/>
          <w:szCs w:val="16"/>
        </w:rPr>
        <w:t>36</w:t>
      </w:r>
      <w:r w:rsidRPr="00AD40AF">
        <w:rPr>
          <w:rFonts w:ascii="Arial" w:hAnsi="Arial" w:cs="Arial"/>
          <w:sz w:val="16"/>
          <w:szCs w:val="16"/>
        </w:rPr>
        <w:t xml:space="preserve"> месяц</w:t>
      </w:r>
      <w:r w:rsidR="000D4A63" w:rsidRPr="00AD40AF">
        <w:rPr>
          <w:rFonts w:ascii="Arial" w:hAnsi="Arial" w:cs="Arial"/>
          <w:sz w:val="16"/>
          <w:szCs w:val="16"/>
        </w:rPr>
        <w:t>ев</w:t>
      </w:r>
      <w:r w:rsidRPr="00AD40AF">
        <w:rPr>
          <w:rFonts w:ascii="Arial" w:hAnsi="Arial" w:cs="Arial"/>
          <w:sz w:val="16"/>
          <w:szCs w:val="16"/>
        </w:rPr>
        <w:t>) со дня продажи. Гарантия предоставляется на внешний вид светильника и работоспособность светодиодного модуля и электронных компонентов.</w:t>
      </w:r>
      <w:r w:rsidR="00D11319" w:rsidRPr="00AD40AF">
        <w:rPr>
          <w:rFonts w:ascii="Arial" w:hAnsi="Arial" w:cs="Arial"/>
          <w:sz w:val="16"/>
          <w:szCs w:val="16"/>
        </w:rPr>
        <w:t xml:space="preserve"> </w:t>
      </w:r>
    </w:p>
    <w:p w:rsidR="00540501" w:rsidRPr="00AD40AF" w:rsidRDefault="00540501" w:rsidP="001231A0">
      <w:pPr>
        <w:numPr>
          <w:ilvl w:val="0"/>
          <w:numId w:val="21"/>
        </w:numPr>
        <w:spacing w:after="0" w:line="23" w:lineRule="atLeast"/>
        <w:jc w:val="both"/>
        <w:rPr>
          <w:rFonts w:ascii="Arial" w:hAnsi="Arial" w:cs="Arial"/>
          <w:sz w:val="16"/>
          <w:szCs w:val="16"/>
        </w:rPr>
      </w:pPr>
      <w:r w:rsidRPr="00AD40A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D72FC5"/>
    <w:multiLevelType w:val="multilevel"/>
    <w:tmpl w:val="5694C2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70ED6"/>
    <w:multiLevelType w:val="multilevel"/>
    <w:tmpl w:val="C77C66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47B47967"/>
    <w:multiLevelType w:val="multilevel"/>
    <w:tmpl w:val="5694C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9600D"/>
    <w:multiLevelType w:val="multilevel"/>
    <w:tmpl w:val="5C92D7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0"/>
  </w:num>
  <w:num w:numId="4">
    <w:abstractNumId w:val="21"/>
  </w:num>
  <w:num w:numId="5">
    <w:abstractNumId w:val="3"/>
  </w:num>
  <w:num w:numId="6">
    <w:abstractNumId w:val="18"/>
  </w:num>
  <w:num w:numId="7">
    <w:abstractNumId w:val="15"/>
  </w:num>
  <w:num w:numId="8">
    <w:abstractNumId w:val="23"/>
  </w:num>
  <w:num w:numId="9">
    <w:abstractNumId w:val="12"/>
  </w:num>
  <w:num w:numId="10">
    <w:abstractNumId w:val="5"/>
  </w:num>
  <w:num w:numId="11">
    <w:abstractNumId w:val="9"/>
  </w:num>
  <w:num w:numId="12">
    <w:abstractNumId w:val="10"/>
  </w:num>
  <w:num w:numId="13">
    <w:abstractNumId w:val="13"/>
  </w:num>
  <w:num w:numId="14">
    <w:abstractNumId w:val="0"/>
  </w:num>
  <w:num w:numId="15">
    <w:abstractNumId w:val="1"/>
  </w:num>
  <w:num w:numId="16">
    <w:abstractNumId w:val="22"/>
  </w:num>
  <w:num w:numId="17">
    <w:abstractNumId w:val="6"/>
  </w:num>
  <w:num w:numId="18">
    <w:abstractNumId w:val="2"/>
  </w:num>
  <w:num w:numId="19">
    <w:abstractNumId w:val="7"/>
  </w:num>
  <w:num w:numId="20">
    <w:abstractNumId w:val="4"/>
  </w:num>
  <w:num w:numId="21">
    <w:abstractNumId w:val="16"/>
  </w:num>
  <w:num w:numId="22">
    <w:abstractNumId w:val="8"/>
  </w:num>
  <w:num w:numId="23">
    <w:abstractNumId w:val="19"/>
  </w:num>
  <w:num w:numId="24">
    <w:abstractNumId w:val="1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42E78"/>
    <w:rsid w:val="000832A5"/>
    <w:rsid w:val="000D4A63"/>
    <w:rsid w:val="000F7094"/>
    <w:rsid w:val="00114C30"/>
    <w:rsid w:val="0014288F"/>
    <w:rsid w:val="00142F2B"/>
    <w:rsid w:val="00152979"/>
    <w:rsid w:val="00155F3B"/>
    <w:rsid w:val="00187EE3"/>
    <w:rsid w:val="001B649F"/>
    <w:rsid w:val="001C32DB"/>
    <w:rsid w:val="001E2DFB"/>
    <w:rsid w:val="001E4A31"/>
    <w:rsid w:val="00200865"/>
    <w:rsid w:val="00233235"/>
    <w:rsid w:val="002411AD"/>
    <w:rsid w:val="002437F7"/>
    <w:rsid w:val="002D1D37"/>
    <w:rsid w:val="002D7349"/>
    <w:rsid w:val="003912DC"/>
    <w:rsid w:val="00396816"/>
    <w:rsid w:val="003B739F"/>
    <w:rsid w:val="00412F6A"/>
    <w:rsid w:val="00413A3C"/>
    <w:rsid w:val="0042561E"/>
    <w:rsid w:val="00451541"/>
    <w:rsid w:val="00473026"/>
    <w:rsid w:val="00492585"/>
    <w:rsid w:val="0049764F"/>
    <w:rsid w:val="004A44EE"/>
    <w:rsid w:val="004A6D7C"/>
    <w:rsid w:val="004F2B30"/>
    <w:rsid w:val="00540501"/>
    <w:rsid w:val="00545DDA"/>
    <w:rsid w:val="00553594"/>
    <w:rsid w:val="005E308B"/>
    <w:rsid w:val="005F0643"/>
    <w:rsid w:val="00614AD0"/>
    <w:rsid w:val="006556DB"/>
    <w:rsid w:val="006D2889"/>
    <w:rsid w:val="006D3BBF"/>
    <w:rsid w:val="006D6A30"/>
    <w:rsid w:val="00712D93"/>
    <w:rsid w:val="00713182"/>
    <w:rsid w:val="00715093"/>
    <w:rsid w:val="00722FB7"/>
    <w:rsid w:val="00760C7E"/>
    <w:rsid w:val="007A3FFF"/>
    <w:rsid w:val="007E3931"/>
    <w:rsid w:val="007F731F"/>
    <w:rsid w:val="007F7B51"/>
    <w:rsid w:val="00803A1B"/>
    <w:rsid w:val="008062AE"/>
    <w:rsid w:val="00844324"/>
    <w:rsid w:val="00863389"/>
    <w:rsid w:val="008C6A91"/>
    <w:rsid w:val="008F0EC7"/>
    <w:rsid w:val="008F31A0"/>
    <w:rsid w:val="009472A6"/>
    <w:rsid w:val="009A04D2"/>
    <w:rsid w:val="009C24DF"/>
    <w:rsid w:val="009C3AFA"/>
    <w:rsid w:val="00A016A4"/>
    <w:rsid w:val="00A06C9B"/>
    <w:rsid w:val="00A23114"/>
    <w:rsid w:val="00A35886"/>
    <w:rsid w:val="00A37DF7"/>
    <w:rsid w:val="00A57C1D"/>
    <w:rsid w:val="00AB7FBC"/>
    <w:rsid w:val="00AD40AF"/>
    <w:rsid w:val="00AF5514"/>
    <w:rsid w:val="00AF5E3C"/>
    <w:rsid w:val="00AF62AC"/>
    <w:rsid w:val="00B15A03"/>
    <w:rsid w:val="00B46356"/>
    <w:rsid w:val="00B55909"/>
    <w:rsid w:val="00BB292C"/>
    <w:rsid w:val="00BE1143"/>
    <w:rsid w:val="00BF3963"/>
    <w:rsid w:val="00C25A97"/>
    <w:rsid w:val="00C26A21"/>
    <w:rsid w:val="00C41DAB"/>
    <w:rsid w:val="00C450B4"/>
    <w:rsid w:val="00C94497"/>
    <w:rsid w:val="00C95D91"/>
    <w:rsid w:val="00CA424C"/>
    <w:rsid w:val="00CA7FF0"/>
    <w:rsid w:val="00CE1E9A"/>
    <w:rsid w:val="00CE4F3C"/>
    <w:rsid w:val="00D11319"/>
    <w:rsid w:val="00D227BB"/>
    <w:rsid w:val="00D260BB"/>
    <w:rsid w:val="00D34BBE"/>
    <w:rsid w:val="00D52FD2"/>
    <w:rsid w:val="00D77AE0"/>
    <w:rsid w:val="00DA13DD"/>
    <w:rsid w:val="00DF0B80"/>
    <w:rsid w:val="00DF15E3"/>
    <w:rsid w:val="00E348D4"/>
    <w:rsid w:val="00E3539B"/>
    <w:rsid w:val="00E47A34"/>
    <w:rsid w:val="00E53BC5"/>
    <w:rsid w:val="00E70908"/>
    <w:rsid w:val="00EA3F6B"/>
    <w:rsid w:val="00EE5F6E"/>
    <w:rsid w:val="00F41400"/>
    <w:rsid w:val="00F6152B"/>
    <w:rsid w:val="00F62754"/>
    <w:rsid w:val="00F62DFD"/>
    <w:rsid w:val="00F6515E"/>
    <w:rsid w:val="00F81542"/>
    <w:rsid w:val="00FA500E"/>
    <w:rsid w:val="00FC73ED"/>
    <w:rsid w:val="00FE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A42B"/>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2025-05-13T13:35:00Z</dcterms:created>
  <dcterms:modified xsi:type="dcterms:W3CDTF">2025-05-13T13:38:00Z</dcterms:modified>
</cp:coreProperties>
</file>